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widowControl/>
        <w:bidi w:val="0"/>
        <w:spacing w:lineRule="auto" w:line="240" w:before="0" w:after="0"/>
        <w:ind w:left="0" w:right="0" w:hanging="0"/>
        <w:jc w:val="right"/>
        <w:rPr>
          <w:rFonts w:ascii="Tinos" w:hAnsi="Tinos"/>
          <w:b w:val="false"/>
          <w:bCs w:val="false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Приложение 1 </w:t>
      </w:r>
    </w:p>
    <w:p>
      <w:pPr>
        <w:pStyle w:val="Style14"/>
        <w:widowControl/>
        <w:bidi w:val="0"/>
        <w:spacing w:lineRule="auto" w:line="240" w:before="0" w:after="0"/>
        <w:ind w:left="0" w:right="0" w:hanging="0"/>
        <w:jc w:val="right"/>
        <w:rPr>
          <w:rFonts w:ascii="Tinos" w:hAnsi="Tinos"/>
          <w:b w:val="false"/>
          <w:bCs w:val="false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  <w:t>к приказу от 19.03.2025 № 55-о</w:t>
      </w:r>
    </w:p>
    <w:p>
      <w:pPr>
        <w:pStyle w:val="Style14"/>
        <w:widowControl/>
        <w:bidi w:val="0"/>
        <w:spacing w:lineRule="auto" w:line="240" w:before="0" w:after="0"/>
        <w:ind w:left="0" w:right="0" w:hanging="0"/>
        <w:jc w:val="right"/>
        <w:rPr>
          <w:rFonts w:ascii="Tinos" w:hAnsi="Tinos"/>
          <w:b w:val="false"/>
          <w:bCs w:val="false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</w:r>
    </w:p>
    <w:p>
      <w:pPr>
        <w:pStyle w:val="Normal"/>
        <w:ind w:left="0" w:right="0" w:firstLine="426"/>
        <w:jc w:val="center"/>
        <w:rPr>
          <w:rFonts w:ascii="Tinos" w:hAnsi="Tinos"/>
          <w:b/>
          <w:bCs/>
        </w:rPr>
      </w:pPr>
      <w:r>
        <w:rPr>
          <w:rFonts w:ascii="Tinos" w:hAnsi="Tinos"/>
          <w:b/>
          <w:bCs/>
          <w:sz w:val="24"/>
          <w:szCs w:val="24"/>
        </w:rPr>
        <w:t xml:space="preserve">Программа методического сопровождения молодых педагогов и наставников в МАОУ СОШ № 67 г. Томска на 2025-2028 годы 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 целях создания условий для закрепления молодых педагогов в системе образования, а также выявления и поддержки проектов молодых педагогов школы, направленных на развитие системы образования региона, и педагогических работников, осуществляющих наставническую деятельность (далее — наставник, педагог— наставник), работающих в общеобразовательной организации.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І.</w:t>
        <w:tab/>
        <w:t>Программа базируется на следующих документах: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>1. Указ  Президента  Российской  Федерации  от  21.07.2020  № 474 «О национальных целях развития Российской Федерации на период до 2050 года».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>2. Указ  Президента  Российской  Федерации  от  07.05.2024  N 309 «О национальных целях развития Российской Федерации на период до 2030 года и на перспективу до 2036 года».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>3. Распоряжение  Правительства  Российской  Федерации от 17.08.2024 № 2233—p «Об утверждении Стратегии реализации молодежной политики в Российской Федерации на период до 2030 года».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4. Распоряжения Департамента общего образования Томской области от 19.02.2025 №280 «Об утверждении программы методического сопровождения молодых педагогов и наставников на территории Томской области на 2025—2028 годы» 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>II. Цель программы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Создать условия для закрепления молодых педагогов в первые три года профессиональной деятельности в образовательной организации через адресную методическую поддержку, систему наставничества и современные формы взаимодействия, способствующие их профессиональному становлению, а также повышение профессиональных и личностных компетентностей и передачу опыта педагогов, осуществляющих наставническую деятельность.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>III. Задачи: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1. Создание условии для адаптации молодых педагогов и наставников.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2. Реализация информационно—методической поддержки.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3. Развитие сообщества молодых педагогов и наставников.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>IV. Ожидаемые результаты  программы: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1. Формирование устойчивой системы поддержки молодых педагогов, обеспечивающей их адаптацию и профессиональное развитие.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2. Повышение профессионального мастерства молодых педагогов и профессиональных и личностных компетенций педагогов—наставников.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3. Создание благоприятных условий для участия педагогов в конкурсах профессионального мастерства, образовательных событиях, неформальных мероприятиях и трансляция опыта.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4. Снижение текучести кадров за cчет создания условий для закрепления молодых педагогов и возможности передачи опыта наставниками в образовательной организации.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5. Создание активного сообщества молодых педагогов и наставников, способных генерировать идеи и вносить вклад в развитие образовательной системы региона.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V. Программные мероприятия: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Направление 1. Создание условий для адаптации молодых педагогов и наставников: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Цель: обеспечение мягкого вхождения молодых педагогов в профессиональную деятельность и закрепления на рабочих местах через систему адресной поддержки. Создание условий для становления педагога в роли наставника.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1. Реализация правовой поддержки: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Проведение семинаров по правовой грамотности (TK РФ, права и обязанности педагога, защита прав педагогов, меры государственной поддержки).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▪ </w:t>
      </w:r>
      <w:r>
        <w:rPr>
          <w:rFonts w:ascii="Tinos" w:hAnsi="Tinos"/>
          <w:sz w:val="24"/>
          <w:szCs w:val="24"/>
        </w:rPr>
        <w:t>Консультации по правовым вопросам и вопросам адаптации в образовательной среде.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Знакомство с локальными нормативными актами образовательной организации, регламентами работы и системой отчетностям.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</w:t>
      </w:r>
      <w:r>
        <w:rPr>
          <w:rFonts w:ascii="Tinos" w:hAnsi="Tinos"/>
          <w:sz w:val="24"/>
          <w:szCs w:val="24"/>
        </w:rPr>
        <w:t>2. Обеспечение психологической адаптации: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Проведение мастер—классов, педагогических мастерских и т.д., направленных на управление стрессом, профилактику профессионального выгорания, личную мотивацию.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▪ </w:t>
      </w:r>
      <w:r>
        <w:rPr>
          <w:rFonts w:ascii="Tinos" w:hAnsi="Tinos"/>
          <w:sz w:val="24"/>
          <w:szCs w:val="24"/>
        </w:rPr>
        <w:t>Создание системы психологической поддержки через организацию образовательных событий с участием психологов и других специалистов.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Направление 2. Реализация информационно-методической поддержки.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Цель: развитие и совершенствование психолого—педагогических профессиональных компетенций, и раскрытие педагогического потенциала через передачу опыта, обучение и отработку полученных навыков, обеспечивающих высокий профессиональный результат.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Осуществление методической поддержки: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Проведение методических мероприятий (семинаров, мастер—классов и др.), направленных на развитие профессионального мастерства и внедрение актуальных инструментов и приемов в работе.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Проведение педагогических мастерских, форумов, конференций для обмена опытом и апробации новых технологий.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Участие в</w:t>
      </w:r>
      <w:r>
        <w:rPr>
          <w:rFonts w:ascii="Tinos" w:hAnsi="Tinos"/>
          <w:sz w:val="24"/>
          <w:szCs w:val="24"/>
        </w:rPr>
        <w:t xml:space="preserve"> конкурс</w:t>
      </w:r>
      <w:r>
        <w:rPr>
          <w:rFonts w:ascii="Tinos" w:hAnsi="Tinos"/>
          <w:sz w:val="24"/>
          <w:szCs w:val="24"/>
        </w:rPr>
        <w:t xml:space="preserve">ах </w:t>
      </w:r>
      <w:r>
        <w:rPr>
          <w:rFonts w:ascii="Tinos" w:hAnsi="Tinos"/>
          <w:sz w:val="24"/>
          <w:szCs w:val="24"/>
        </w:rPr>
        <w:t>профессионального мастерства, курс</w:t>
      </w:r>
      <w:r>
        <w:rPr>
          <w:rFonts w:ascii="Tinos" w:hAnsi="Tinos"/>
          <w:sz w:val="24"/>
          <w:szCs w:val="24"/>
        </w:rPr>
        <w:t>ах</w:t>
      </w:r>
      <w:r>
        <w:rPr>
          <w:rFonts w:ascii="Tinos" w:hAnsi="Tinos"/>
          <w:sz w:val="24"/>
          <w:szCs w:val="24"/>
        </w:rPr>
        <w:t xml:space="preserve"> повышения квалификации для молодых педагогов и наставников, как эффективных инструментов развития и роста уровня педагогического мастерства, а также привлечение наставников к участию в подготовке педагогов к конкурсам профессионального мастерства.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Направление 3. Развитие сообщества молодых педагогов и наставников: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Цель: развитие активного сообщества для обмена опытом, поддержки и совместной деятельности.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Организация взаимодействия: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▪ </w:t>
      </w:r>
      <w:r>
        <w:rPr>
          <w:rFonts w:ascii="Tinos" w:hAnsi="Tinos"/>
          <w:sz w:val="24"/>
          <w:szCs w:val="24"/>
        </w:rPr>
        <w:t>Участие в</w:t>
      </w:r>
      <w:r>
        <w:rPr>
          <w:rFonts w:ascii="Tinos" w:hAnsi="Tinos"/>
          <w:sz w:val="24"/>
          <w:szCs w:val="24"/>
        </w:rPr>
        <w:t xml:space="preserve"> конкурс</w:t>
      </w:r>
      <w:r>
        <w:rPr>
          <w:rFonts w:ascii="Tinos" w:hAnsi="Tinos"/>
          <w:sz w:val="24"/>
          <w:szCs w:val="24"/>
        </w:rPr>
        <w:t xml:space="preserve">ах, </w:t>
      </w:r>
      <w:r>
        <w:rPr>
          <w:rFonts w:ascii="Tinos" w:hAnsi="Tinos"/>
          <w:sz w:val="24"/>
          <w:szCs w:val="24"/>
        </w:rPr>
        <w:t>квиз</w:t>
      </w:r>
      <w:r>
        <w:rPr>
          <w:rFonts w:ascii="Tinos" w:hAnsi="Tinos"/>
          <w:sz w:val="24"/>
          <w:szCs w:val="24"/>
        </w:rPr>
        <w:t>ах</w:t>
      </w:r>
      <w:r>
        <w:rPr>
          <w:rFonts w:ascii="Tinos" w:hAnsi="Tinos"/>
          <w:sz w:val="24"/>
          <w:szCs w:val="24"/>
        </w:rPr>
        <w:t xml:space="preserve"> и др. для вовлечения педагогов в профессиональное сообщество и </w:t>
      </w:r>
      <w:r>
        <w:rPr>
          <w:rFonts w:ascii="Tinos" w:hAnsi="Tinos"/>
          <w:sz w:val="24"/>
          <w:szCs w:val="24"/>
        </w:rPr>
        <w:t>участие в</w:t>
      </w:r>
      <w:r>
        <w:rPr>
          <w:rFonts w:ascii="Tinos" w:hAnsi="Tinos"/>
          <w:sz w:val="24"/>
          <w:szCs w:val="24"/>
        </w:rPr>
        <w:t xml:space="preserve"> площадк</w:t>
      </w:r>
      <w:r>
        <w:rPr>
          <w:rFonts w:ascii="Tinos" w:hAnsi="Tinos"/>
          <w:sz w:val="24"/>
          <w:szCs w:val="24"/>
        </w:rPr>
        <w:t>ах</w:t>
      </w:r>
      <w:r>
        <w:rPr>
          <w:rFonts w:ascii="Tinos" w:hAnsi="Tinos"/>
          <w:sz w:val="24"/>
          <w:szCs w:val="24"/>
        </w:rPr>
        <w:t xml:space="preserve"> для взаимодействия молодых педагогов и наставников. Организация формальных и неформальных встреч, слетов и других мероприятий </w:t>
      </w:r>
      <w:r>
        <w:rPr>
          <w:rFonts w:ascii="Tinos" w:hAnsi="Tinos"/>
          <w:sz w:val="24"/>
          <w:szCs w:val="24"/>
        </w:rPr>
        <w:t>на базе школы</w:t>
      </w:r>
      <w:r>
        <w:rPr>
          <w:rFonts w:ascii="Tinos" w:hAnsi="Tinos"/>
          <w:sz w:val="24"/>
          <w:szCs w:val="24"/>
        </w:rPr>
        <w:t>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Направление 4. Мониторинг форм поддержки и сопровождения </w:t>
      </w:r>
      <w:r>
        <w:rPr>
          <w:rFonts w:ascii="Tinos" w:hAnsi="Tinos"/>
          <w:sz w:val="24"/>
          <w:szCs w:val="24"/>
        </w:rPr>
        <w:t xml:space="preserve">молодых </w:t>
      </w:r>
      <w:r>
        <w:rPr>
          <w:rFonts w:ascii="Tinos" w:hAnsi="Tinos"/>
          <w:sz w:val="24"/>
          <w:szCs w:val="24"/>
        </w:rPr>
        <w:t xml:space="preserve">педагогов в первые 3 года работы и эффективность системы наставничества </w:t>
      </w:r>
      <w:r>
        <w:rPr>
          <w:rFonts w:ascii="Tinos" w:hAnsi="Tinos"/>
          <w:sz w:val="24"/>
          <w:szCs w:val="24"/>
        </w:rPr>
        <w:t>в школе.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С целью мониторинга реализации мероприятий и достижения запланированных результатов Программы методического сопровождения молодых педагогов и наставников </w:t>
      </w:r>
      <w:r>
        <w:rPr>
          <w:rFonts w:ascii="Tinos" w:hAnsi="Tinos"/>
          <w:sz w:val="24"/>
          <w:szCs w:val="24"/>
        </w:rPr>
        <w:t xml:space="preserve">в МАОУ СОШ № 67 г .Томска </w:t>
      </w:r>
      <w:r>
        <w:rPr>
          <w:rFonts w:ascii="Tinos" w:hAnsi="Tinos"/>
          <w:sz w:val="24"/>
          <w:szCs w:val="24"/>
        </w:rPr>
        <w:t xml:space="preserve"> на 202S—2028 годы запланирован сбор отчетной информации:</w:t>
      </w:r>
    </w:p>
    <w:p>
      <w:pPr>
        <w:pStyle w:val="Normal"/>
        <w:spacing w:lineRule="auto" w:line="240"/>
        <w:ind w:left="0" w:right="0" w:firstLine="42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pacing w:val="-5"/>
          <w:sz w:val="24"/>
          <w:szCs w:val="24"/>
        </w:rPr>
        <w:t xml:space="preserve">▪ </w:t>
      </w:r>
      <w:r>
        <w:rPr>
          <w:rFonts w:ascii="Tinos" w:hAnsi="Tinos"/>
          <w:spacing w:val="-5"/>
          <w:sz w:val="24"/>
          <w:szCs w:val="24"/>
        </w:rPr>
        <w:t xml:space="preserve">Ежегодные аналитические отчеты за 1 и 2 полугодия о реализации Программы методического сопровождения молодых педагогов и наставников </w:t>
      </w:r>
      <w:r>
        <w:rPr>
          <w:rFonts w:ascii="Tinos" w:hAnsi="Tinos"/>
          <w:spacing w:val="-5"/>
          <w:sz w:val="24"/>
          <w:szCs w:val="24"/>
        </w:rPr>
        <w:t>в МАОУ СОШ № 67 г. Томска</w:t>
      </w:r>
      <w:r>
        <w:rPr>
          <w:rFonts w:ascii="Tinos" w:hAnsi="Tinos"/>
          <w:spacing w:val="-5"/>
          <w:sz w:val="24"/>
          <w:szCs w:val="24"/>
        </w:rPr>
        <w:t xml:space="preserve"> на 2025—2028 годы, анализ эффективности проведенных мероприятий и выявление имеющихся дефицитов.</w:t>
      </w:r>
    </w:p>
    <w:p>
      <w:pPr>
        <w:pStyle w:val="Style14"/>
        <w:spacing w:before="82" w:after="0"/>
        <w:ind w:left="5904" w:right="0" w:hanging="0"/>
        <w:jc w:val="left"/>
        <w:rPr>
          <w:spacing w:val="-5"/>
        </w:rPr>
      </w:pPr>
      <w:r>
        <w:rPr/>
      </w:r>
    </w:p>
    <w:p>
      <w:pPr>
        <w:pStyle w:val="Style14"/>
        <w:spacing w:before="82" w:after="0"/>
        <w:ind w:left="5904" w:right="0" w:hanging="0"/>
        <w:jc w:val="left"/>
        <w:rPr>
          <w:spacing w:val="-5"/>
        </w:rPr>
      </w:pPr>
      <w:r>
        <w:rPr/>
      </w:r>
    </w:p>
    <w:p>
      <w:pPr>
        <w:pStyle w:val="Style14"/>
        <w:spacing w:before="82" w:after="0"/>
        <w:ind w:left="5904" w:right="0" w:hanging="0"/>
        <w:jc w:val="left"/>
        <w:rPr>
          <w:spacing w:val="-5"/>
        </w:rPr>
      </w:pPr>
      <w:r>
        <w:rPr/>
      </w:r>
    </w:p>
    <w:p>
      <w:pPr>
        <w:pStyle w:val="Style14"/>
        <w:spacing w:before="82" w:after="0"/>
        <w:ind w:left="5904" w:right="0" w:hanging="0"/>
        <w:jc w:val="left"/>
        <w:rPr>
          <w:spacing w:val="-5"/>
        </w:rPr>
      </w:pPr>
      <w:r>
        <w:rPr/>
      </w:r>
    </w:p>
    <w:p>
      <w:pPr>
        <w:pStyle w:val="Style14"/>
        <w:spacing w:before="82" w:after="0"/>
        <w:ind w:left="5904" w:right="0" w:hanging="0"/>
        <w:jc w:val="left"/>
        <w:rPr>
          <w:spacing w:val="-5"/>
        </w:rPr>
      </w:pPr>
      <w:r>
        <w:rPr/>
      </w:r>
    </w:p>
    <w:p>
      <w:pPr>
        <w:pStyle w:val="Style14"/>
        <w:spacing w:before="82" w:after="0"/>
        <w:ind w:left="5904" w:right="0" w:hanging="0"/>
        <w:jc w:val="left"/>
        <w:rPr>
          <w:spacing w:val="-5"/>
        </w:rPr>
      </w:pPr>
      <w:r>
        <w:rPr/>
      </w:r>
    </w:p>
    <w:p>
      <w:pPr>
        <w:pStyle w:val="Style14"/>
        <w:spacing w:before="82" w:after="0"/>
        <w:ind w:left="5904" w:right="0" w:hanging="0"/>
        <w:jc w:val="left"/>
        <w:rPr>
          <w:spacing w:val="-5"/>
        </w:rPr>
      </w:pPr>
      <w:r>
        <w:rPr/>
      </w:r>
    </w:p>
    <w:p>
      <w:pPr>
        <w:pStyle w:val="Style14"/>
        <w:spacing w:before="82" w:after="0"/>
        <w:ind w:left="5904" w:right="0" w:hanging="0"/>
        <w:jc w:val="left"/>
        <w:rPr>
          <w:spacing w:val="-4"/>
          <w:sz w:val="25"/>
        </w:rPr>
      </w:pPr>
      <w:r>
        <w:rPr/>
      </w:r>
    </w:p>
    <w:sectPr>
      <w:type w:val="nextPage"/>
      <w:pgSz w:w="11906" w:h="16838"/>
      <w:pgMar w:left="1559" w:right="850" w:gutter="0" w:header="0" w:top="12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6" w:right="0" w:hanging="0"/>
      <w:jc w:val="both"/>
      <w:outlineLvl w:val="1"/>
    </w:pPr>
    <w:rPr>
      <w:rFonts w:ascii="Cambria" w:hAnsi="Cambria" w:eastAsia="Cambria" w:cs="Cambria"/>
      <w:b/>
      <w:bCs/>
      <w:sz w:val="25"/>
      <w:szCs w:val="25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55" w:right="0" w:hanging="0"/>
      <w:jc w:val="both"/>
    </w:pPr>
    <w:rPr>
      <w:rFonts w:ascii="Cambria" w:hAnsi="Cambria" w:eastAsia="Cambria" w:cs="Cambria"/>
      <w:sz w:val="25"/>
      <w:szCs w:val="25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"/>
    <w:qFormat/>
    <w:pPr>
      <w:spacing w:lineRule="exact" w:line="306"/>
      <w:ind w:left="998" w:right="0" w:hanging="0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55" w:right="0" w:hanging="715"/>
      <w:jc w:val="both"/>
    </w:pPr>
    <w:rPr>
      <w:rFonts w:ascii="Cambria" w:hAnsi="Cambria" w:eastAsia="Cambria" w:cs="Cambria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LibreOffice/7.5.2.1$Linux_X86_64 LibreOffice_project/50$Build-1</Application>
  <AppVersion>15.0000</AppVersion>
  <Pages>2</Pages>
  <Words>686</Words>
  <Characters>5021</Characters>
  <CharactersWithSpaces>5781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2025-03-17T06:35:22Z</dcterms:created>
  <dc:creator/>
  <dc:description/>
  <dc:language>ru-RU</dc:language>
  <cp:lastModifiedBy/>
  <dcterms:modified xsi:type="dcterms:W3CDTF">2025-03-20T11:58:45Z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3-Heights(TM) PDF Security Shell 4.8.25.2 (http://www.pdf-tools.com)</vt:lpwstr>
  </property>
</Properties>
</file>